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63E70" w14:textId="454F21C2" w:rsidR="00A00FC4" w:rsidRPr="00AA5CDB" w:rsidRDefault="00746F8D" w:rsidP="00A00FC4">
      <w:pPr>
        <w:pStyle w:val="ConsPlusNormal"/>
        <w:spacing w:line="228" w:lineRule="auto"/>
        <w:jc w:val="right"/>
        <w:rPr>
          <w:sz w:val="28"/>
          <w:szCs w:val="28"/>
        </w:rPr>
      </w:pPr>
      <w:r w:rsidRPr="00AA5CDB">
        <w:rPr>
          <w:sz w:val="28"/>
          <w:szCs w:val="28"/>
        </w:rPr>
        <w:t>Приложение № 9</w:t>
      </w:r>
    </w:p>
    <w:p w14:paraId="7A764213" w14:textId="77777777" w:rsidR="00A00FC4" w:rsidRPr="00AA5CDB" w:rsidRDefault="00A00FC4" w:rsidP="00A00FC4">
      <w:pPr>
        <w:pStyle w:val="ConsPlusNormal"/>
        <w:spacing w:line="228" w:lineRule="auto"/>
        <w:jc w:val="right"/>
        <w:rPr>
          <w:sz w:val="28"/>
          <w:szCs w:val="28"/>
        </w:rPr>
      </w:pPr>
      <w:r w:rsidRPr="00AA5CDB">
        <w:rPr>
          <w:sz w:val="28"/>
          <w:szCs w:val="28"/>
        </w:rPr>
        <w:t xml:space="preserve">к Дополнительному соглашению № 1 от 03.03.2025 </w:t>
      </w:r>
    </w:p>
    <w:p w14:paraId="25D1C89E" w14:textId="77777777" w:rsidR="00A00FC4" w:rsidRPr="00AA5CDB" w:rsidRDefault="00A00FC4" w:rsidP="00A00FC4">
      <w:pPr>
        <w:pStyle w:val="ConsPlusNormal"/>
        <w:spacing w:line="228" w:lineRule="auto"/>
        <w:jc w:val="right"/>
        <w:rPr>
          <w:sz w:val="28"/>
          <w:szCs w:val="28"/>
        </w:rPr>
      </w:pPr>
      <w:r w:rsidRPr="00AA5CDB">
        <w:rPr>
          <w:sz w:val="28"/>
          <w:szCs w:val="28"/>
        </w:rPr>
        <w:t xml:space="preserve">к Тарифному соглашению в сфере </w:t>
      </w:r>
      <w:proofErr w:type="gramStart"/>
      <w:r w:rsidRPr="00AA5CDB">
        <w:rPr>
          <w:sz w:val="28"/>
          <w:szCs w:val="28"/>
        </w:rPr>
        <w:t>обязательного</w:t>
      </w:r>
      <w:proofErr w:type="gramEnd"/>
      <w:r w:rsidRPr="00AA5CDB">
        <w:rPr>
          <w:sz w:val="28"/>
          <w:szCs w:val="28"/>
        </w:rPr>
        <w:t xml:space="preserve"> </w:t>
      </w:r>
    </w:p>
    <w:p w14:paraId="7C0A16A8" w14:textId="77777777" w:rsidR="00A00FC4" w:rsidRPr="00AA5CDB" w:rsidRDefault="00A00FC4" w:rsidP="00A00FC4">
      <w:pPr>
        <w:pStyle w:val="ConsPlusNormal"/>
        <w:spacing w:line="228" w:lineRule="auto"/>
        <w:jc w:val="right"/>
        <w:rPr>
          <w:sz w:val="28"/>
          <w:szCs w:val="28"/>
        </w:rPr>
      </w:pPr>
      <w:r w:rsidRPr="00AA5CDB">
        <w:rPr>
          <w:sz w:val="28"/>
          <w:szCs w:val="28"/>
        </w:rPr>
        <w:t>медицинского страхования на территории</w:t>
      </w:r>
    </w:p>
    <w:p w14:paraId="33D783BE" w14:textId="2A143341" w:rsidR="00A00FC4" w:rsidRPr="00AA5CDB" w:rsidRDefault="00A00FC4" w:rsidP="00A00FC4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Ивановской области на 2025 год</w:t>
      </w:r>
    </w:p>
    <w:p w14:paraId="2497DF82" w14:textId="77777777" w:rsidR="00A00FC4" w:rsidRPr="00AA5CDB" w:rsidRDefault="00A00FC4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</w:p>
    <w:p w14:paraId="05B78361" w14:textId="1A3F4D41" w:rsidR="00614802" w:rsidRPr="00AA5CDB" w:rsidRDefault="00A00FC4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«</w:t>
      </w:r>
      <w:r w:rsidR="00C4148D" w:rsidRPr="00AA5CDB">
        <w:rPr>
          <w:rFonts w:cs="Times New Roman"/>
          <w:sz w:val="28"/>
          <w:szCs w:val="28"/>
        </w:rPr>
        <w:t>Приложение № 32</w:t>
      </w:r>
    </w:p>
    <w:p w14:paraId="6C37CB65" w14:textId="77777777" w:rsidR="00614802" w:rsidRPr="00AA5CDB" w:rsidRDefault="00C4148D">
      <w:pPr>
        <w:pStyle w:val="ConsPlusNormal"/>
        <w:jc w:val="right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к Тарифному соглашению</w:t>
      </w:r>
    </w:p>
    <w:p w14:paraId="3382D382" w14:textId="77777777" w:rsidR="00614802" w:rsidRPr="00AA5CDB" w:rsidRDefault="00C4148D">
      <w:pPr>
        <w:pStyle w:val="ConsPlusNormal"/>
        <w:jc w:val="right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в сфере обязательного медицинского страхования</w:t>
      </w:r>
    </w:p>
    <w:p w14:paraId="3CF8F8C5" w14:textId="77777777" w:rsidR="00614802" w:rsidRPr="00AA5CDB" w:rsidRDefault="00C4148D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 xml:space="preserve">на территории Ивановской области на 2025 год </w:t>
      </w:r>
    </w:p>
    <w:p w14:paraId="366C6F8A" w14:textId="77777777" w:rsidR="00614802" w:rsidRPr="00AA5CDB" w:rsidRDefault="00614802">
      <w:pPr>
        <w:contextualSpacing/>
        <w:rPr>
          <w:sz w:val="28"/>
          <w:szCs w:val="28"/>
        </w:rPr>
      </w:pPr>
    </w:p>
    <w:p w14:paraId="4EDD8E0A" w14:textId="77777777" w:rsidR="00AA5CDB" w:rsidRDefault="00AA5CDB">
      <w:pPr>
        <w:contextualSpacing/>
        <w:rPr>
          <w:sz w:val="20"/>
          <w:szCs w:val="20"/>
        </w:rPr>
      </w:pPr>
    </w:p>
    <w:p w14:paraId="78FFD007" w14:textId="77777777" w:rsidR="00614802" w:rsidRDefault="00C4148D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Тарифы на услуги диализа в стационарных условиях</w:t>
      </w:r>
    </w:p>
    <w:p w14:paraId="08DCA704" w14:textId="108FB148" w:rsidR="00614802" w:rsidRDefault="00C4148D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с 01.0</w:t>
      </w:r>
      <w:r w:rsidR="00A00FC4">
        <w:rPr>
          <w:rFonts w:cs="Times New Roman"/>
          <w:szCs w:val="24"/>
        </w:rPr>
        <w:t>2</w:t>
      </w:r>
      <w:r>
        <w:rPr>
          <w:rFonts w:cs="Times New Roman"/>
          <w:szCs w:val="24"/>
        </w:rPr>
        <w:t>.202</w:t>
      </w:r>
      <w:r>
        <w:rPr>
          <w:rFonts w:cs="Times New Roman"/>
          <w:szCs w:val="24"/>
          <w:lang w:val="en-US"/>
        </w:rPr>
        <w:t>5</w:t>
      </w:r>
    </w:p>
    <w:p w14:paraId="0E8BA8FA" w14:textId="77777777" w:rsidR="00AA5CDB" w:rsidRPr="00AA5CDB" w:rsidRDefault="00AA5CDB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</w:p>
    <w:tbl>
      <w:tblPr>
        <w:tblW w:w="10576" w:type="dxa"/>
        <w:tblInd w:w="-15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0"/>
        <w:gridCol w:w="1475"/>
        <w:gridCol w:w="913"/>
        <w:gridCol w:w="3037"/>
        <w:gridCol w:w="1350"/>
        <w:gridCol w:w="850"/>
        <w:gridCol w:w="1500"/>
        <w:gridCol w:w="1001"/>
      </w:tblGrid>
      <w:tr w:rsidR="00614802" w14:paraId="01FDB313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EB58" w14:textId="77777777"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0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44CDC" w14:textId="77777777"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 по номенклатуре медицинских услуг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6F1C" w14:textId="77777777"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6130" w14:textId="77777777"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Наименование услуги (КСГ)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2403" w14:textId="77777777"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Условия оказания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5C0F" w14:textId="77777777" w:rsidR="00614802" w:rsidRDefault="00C4148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Единица оплаты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B848A" w14:textId="77777777" w:rsidR="00614802" w:rsidRDefault="00C4148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Коэффициент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относительной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затратоемкости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7AD9" w14:textId="77777777"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Тариф, руб.*</w:t>
            </w:r>
          </w:p>
        </w:tc>
      </w:tr>
      <w:tr w:rsidR="00614802" w14:paraId="26947C6D" w14:textId="77777777">
        <w:tc>
          <w:tcPr>
            <w:tcW w:w="10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EFFA9" w14:textId="77777777" w:rsidR="00AA5CDB" w:rsidRDefault="00AA5CDB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</w:p>
          <w:p w14:paraId="1EDE4734" w14:textId="77777777" w:rsidR="00614802" w:rsidRDefault="00C4148D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/>
                <w:sz w:val="20"/>
              </w:rPr>
              <w:t xml:space="preserve">Базовый тариф </w:t>
            </w:r>
            <w:r w:rsidR="00A00FC4">
              <w:rPr>
                <w:rFonts w:cs="Times New Roman"/>
                <w:bCs/>
                <w:color w:val="000000"/>
                <w:sz w:val="20"/>
              </w:rPr>
              <w:t>6 294,04</w:t>
            </w:r>
            <w:r>
              <w:rPr>
                <w:rFonts w:cs="Times New Roman"/>
                <w:bCs/>
                <w:color w:val="000000"/>
                <w:sz w:val="20"/>
              </w:rPr>
              <w:t xml:space="preserve"> рублей</w:t>
            </w:r>
          </w:p>
          <w:p w14:paraId="7CCB8404" w14:textId="29C58626" w:rsidR="00AA5CDB" w:rsidRDefault="00AA5CDB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</w:p>
        </w:tc>
      </w:tr>
      <w:tr w:rsidR="00614802" w14:paraId="3594233A" w14:textId="77777777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D1CC4" w14:textId="77777777" w:rsidR="00AA5CDB" w:rsidRDefault="00AA5CDB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</w:p>
          <w:p w14:paraId="505E5B33" w14:textId="77777777" w:rsidR="00614802" w:rsidRDefault="00C4148D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0"/>
              </w:rPr>
              <w:t>Услуги гемодиализа</w:t>
            </w:r>
          </w:p>
          <w:p w14:paraId="29762C74" w14:textId="77777777" w:rsidR="00AA5CDB" w:rsidRDefault="00AA5CDB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</w:p>
        </w:tc>
      </w:tr>
      <w:tr w:rsidR="00614802" w14:paraId="52EF72B2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82DAF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D3C3C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A357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4151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F667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B74B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84F9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91E4B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1B48" w14:textId="10FD09CE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6 294,04</w:t>
            </w:r>
          </w:p>
        </w:tc>
      </w:tr>
      <w:tr w:rsidR="00614802" w14:paraId="664729EF" w14:textId="77777777">
        <w:trPr>
          <w:trHeight w:val="815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F2D3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49E37287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71C5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6C67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14:paraId="4435A374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14:paraId="58CC7287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низкопоточный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99A2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A79B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14:paraId="4116B149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1E67" w14:textId="58B3ECEB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6 294,04</w:t>
            </w:r>
          </w:p>
        </w:tc>
      </w:tr>
      <w:tr w:rsidR="00614802" w14:paraId="4239DC8A" w14:textId="77777777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B1D4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28530375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797F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B662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14:paraId="20769EC0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14:paraId="01B4FABB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высокопоточный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7648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7149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14:paraId="1C4FF927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1,05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1BEB" w14:textId="3723448F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6 608,74</w:t>
            </w:r>
          </w:p>
        </w:tc>
      </w:tr>
      <w:tr w:rsidR="00614802" w14:paraId="5540BBBF" w14:textId="77777777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6FA0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4A9D30A1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А18.05.011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72B9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DBB3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Гемодиафильтрация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6094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05F4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14:paraId="07E0229B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1,08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5A4B" w14:textId="1E99EC5E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6 797,56</w:t>
            </w:r>
          </w:p>
        </w:tc>
      </w:tr>
      <w:tr w:rsidR="00614802" w14:paraId="3071C3C5" w14:textId="77777777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79AF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629C0C9C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А18.05.004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94F1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4155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A93FA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Ультрафильтрация</w:t>
            </w:r>
          </w:p>
          <w:p w14:paraId="49DBC106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крови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EFE7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39E6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14:paraId="5782033F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67CC" w14:textId="3FAC5571"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A00FC4">
              <w:rPr>
                <w:color w:val="000000"/>
                <w:sz w:val="20"/>
                <w:szCs w:val="20"/>
              </w:rPr>
              <w:t> 790,52</w:t>
            </w:r>
          </w:p>
        </w:tc>
      </w:tr>
      <w:tr w:rsidR="00614802" w14:paraId="29263F32" w14:textId="77777777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1B0F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42CAD4A8" w14:textId="77777777" w:rsidR="00614802" w:rsidRDefault="00AA5CDB">
            <w:pPr>
              <w:ind w:firstLine="0"/>
              <w:jc w:val="left"/>
            </w:pPr>
            <w:hyperlink r:id="rId5">
              <w:r w:rsidR="00C4148D">
                <w:rPr>
                  <w:color w:val="000000"/>
                  <w:sz w:val="20"/>
                </w:rPr>
                <w:t>A18.05.002.003</w:t>
              </w:r>
            </w:hyperlink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D126F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319E" w14:textId="77777777"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 xml:space="preserve">Гемодиализ </w:t>
            </w:r>
            <w:proofErr w:type="spellStart"/>
            <w:r>
              <w:rPr>
                <w:color w:val="000000"/>
                <w:sz w:val="20"/>
              </w:rPr>
              <w:t>интермиттирующий</w:t>
            </w:r>
            <w:proofErr w:type="spellEnd"/>
            <w:r>
              <w:rPr>
                <w:color w:val="000000"/>
                <w:sz w:val="20"/>
              </w:rPr>
              <w:t xml:space="preserve"> продленный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17FFF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2E62" w14:textId="77777777"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14:paraId="37B829CA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E919" w14:textId="263F7B06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17 371,55</w:t>
            </w:r>
          </w:p>
        </w:tc>
      </w:tr>
      <w:tr w:rsidR="00614802" w14:paraId="752D8B45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3635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36F51" w14:textId="77777777" w:rsidR="00614802" w:rsidRDefault="00AA5CDB">
            <w:pPr>
              <w:ind w:firstLine="0"/>
              <w:jc w:val="left"/>
            </w:pPr>
            <w:hyperlink r:id="rId6">
              <w:r w:rsidR="00C4148D">
                <w:rPr>
                  <w:color w:val="000000"/>
                  <w:sz w:val="20"/>
                </w:rPr>
                <w:t>A18.05.003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224A8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1DA5" w14:textId="77777777" w:rsidR="00614802" w:rsidRDefault="00C4148D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20E6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0F37" w14:textId="77777777"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A8DE5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46A9" w14:textId="51E408F4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18 126,84</w:t>
            </w:r>
            <w:r w:rsidR="00C4148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14802" w14:paraId="5E660CC9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DA03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CA059" w14:textId="77777777" w:rsidR="00614802" w:rsidRDefault="00AA5CDB">
            <w:pPr>
              <w:ind w:firstLine="0"/>
              <w:jc w:val="left"/>
            </w:pPr>
            <w:hyperlink r:id="rId7">
              <w:r w:rsidR="00C4148D">
                <w:rPr>
                  <w:color w:val="000000"/>
                  <w:sz w:val="20"/>
                </w:rPr>
                <w:t>A18.05.004.001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4887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4158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46D9" w14:textId="77777777"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>Ультрафильтрация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CA93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37C7" w14:textId="77777777"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1A6FC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D548" w14:textId="251464BE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15 798,04</w:t>
            </w:r>
          </w:p>
        </w:tc>
      </w:tr>
      <w:tr w:rsidR="00614802" w14:paraId="2DFEDF0A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6EDD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AC0B8" w14:textId="77777777" w:rsidR="00614802" w:rsidRDefault="00AA5CDB">
            <w:pPr>
              <w:ind w:firstLine="0"/>
              <w:jc w:val="left"/>
            </w:pPr>
            <w:hyperlink r:id="rId8">
              <w:r w:rsidR="00C4148D">
                <w:rPr>
                  <w:color w:val="000000"/>
                  <w:sz w:val="20"/>
                </w:rPr>
                <w:t>A18.05.011.001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21AB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7A41" w14:textId="77777777" w:rsidR="00614802" w:rsidRDefault="00C4148D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0759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C55D" w14:textId="77777777"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D4711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3F8D" w14:textId="4D9449EE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18 945,06</w:t>
            </w:r>
          </w:p>
        </w:tc>
      </w:tr>
      <w:tr w:rsidR="00614802" w14:paraId="7043A4AB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3BCE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61804" w14:textId="77777777" w:rsidR="00614802" w:rsidRDefault="00AA5CDB">
            <w:pPr>
              <w:ind w:firstLine="0"/>
              <w:jc w:val="left"/>
            </w:pPr>
            <w:hyperlink r:id="rId9">
              <w:r w:rsidR="00C4148D">
                <w:rPr>
                  <w:color w:val="000000"/>
                  <w:sz w:val="20"/>
                </w:rPr>
                <w:t>A18.05.002.005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248C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F98E" w14:textId="77777777"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Гемодиализ продолжительный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AF9A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79D2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B1CB8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97DC" w14:textId="6869817E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32 917,83</w:t>
            </w:r>
          </w:p>
        </w:tc>
      </w:tr>
      <w:tr w:rsidR="00614802" w14:paraId="07D84EB3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147A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B7CF1" w14:textId="77777777" w:rsidR="00614802" w:rsidRDefault="00AA5CDB">
            <w:pPr>
              <w:ind w:firstLine="0"/>
              <w:jc w:val="left"/>
            </w:pPr>
            <w:hyperlink r:id="rId10">
              <w:r w:rsidR="00C4148D">
                <w:rPr>
                  <w:color w:val="000000"/>
                  <w:sz w:val="20"/>
                </w:rPr>
                <w:t>A18.05.003.002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DD54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A6B2" w14:textId="77777777" w:rsidR="00614802" w:rsidRDefault="00C4148D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 </w:t>
            </w:r>
            <w:proofErr w:type="gramStart"/>
            <w:r>
              <w:rPr>
                <w:color w:val="000000"/>
                <w:sz w:val="20"/>
              </w:rPr>
              <w:t>продолжительная</w:t>
            </w:r>
            <w:proofErr w:type="gram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E9EE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9458C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DEFE3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C41C" w14:textId="5F2FDA27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34 491,34</w:t>
            </w:r>
          </w:p>
        </w:tc>
      </w:tr>
      <w:tr w:rsidR="00614802" w14:paraId="4A60EB52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EB6B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718CC" w14:textId="77777777" w:rsidR="00614802" w:rsidRDefault="00AA5CDB">
            <w:pPr>
              <w:ind w:firstLine="0"/>
              <w:jc w:val="left"/>
            </w:pPr>
            <w:hyperlink r:id="rId11">
              <w:r w:rsidR="00C4148D">
                <w:rPr>
                  <w:color w:val="000000"/>
                  <w:sz w:val="20"/>
                </w:rPr>
                <w:t>A18.05.011.002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3B66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AA78" w14:textId="77777777" w:rsidR="00614802" w:rsidRDefault="00C4148D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продолжительная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A572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D6D1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EBF95" w14:textId="77777777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7EB0" w14:textId="6670694D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36 064,85</w:t>
            </w:r>
          </w:p>
        </w:tc>
      </w:tr>
      <w:tr w:rsidR="00614802" w14:paraId="78355EF7" w14:textId="77777777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8A46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Услуги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перитонеального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диализа</w:t>
            </w:r>
          </w:p>
        </w:tc>
      </w:tr>
      <w:tr w:rsidR="00614802" w14:paraId="38A711EA" w14:textId="77777777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2B23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53489C6E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0313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4161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C4F2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</w:p>
          <w:p w14:paraId="0E2057FA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диализ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C00E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8F55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14:paraId="5C7E9D33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87E5" w14:textId="2D26DB91" w:rsidR="00614802" w:rsidRDefault="00A00FC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6 294,04</w:t>
            </w:r>
          </w:p>
        </w:tc>
      </w:tr>
      <w:tr w:rsidR="00614802" w14:paraId="032FEAD4" w14:textId="77777777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20E9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1B66903F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6F44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6E40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проточный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7253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1DBA1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14:paraId="65238488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3577" w14:textId="5118EC34" w:rsidR="00614802" w:rsidRDefault="00A00FC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30 966,68</w:t>
            </w:r>
          </w:p>
        </w:tc>
      </w:tr>
      <w:tr w:rsidR="00614802" w14:paraId="626C13CE" w14:textId="77777777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7D43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0AE260AB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24C3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1FDC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1EA7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BD84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14:paraId="3F904A6B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1,24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C011" w14:textId="6F87C15E" w:rsidR="00614802" w:rsidRDefault="00A00FC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7 804,61</w:t>
            </w:r>
          </w:p>
        </w:tc>
      </w:tr>
      <w:tr w:rsidR="00614802" w14:paraId="73082D1A" w14:textId="77777777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B88D" w14:textId="77777777"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38F4D696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А18.30.001.003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F868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854C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при нарушении ультрафильтрации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9472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991A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14:paraId="32A9636C" w14:textId="77777777" w:rsidR="00614802" w:rsidRDefault="00C4148D">
            <w:pPr>
              <w:pStyle w:val="a9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1,09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EC12" w14:textId="66E49D9A"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00FC4">
              <w:rPr>
                <w:sz w:val="20"/>
                <w:szCs w:val="20"/>
              </w:rPr>
              <w:t> 860,50</w:t>
            </w:r>
          </w:p>
        </w:tc>
      </w:tr>
    </w:tbl>
    <w:p w14:paraId="1BB731FD" w14:textId="45D2CF76" w:rsidR="00614802" w:rsidRPr="00A00FC4" w:rsidRDefault="00C4148D">
      <w:pPr>
        <w:pStyle w:val="ConsPlusTitle"/>
        <w:contextualSpacing/>
        <w:jc w:val="both"/>
        <w:rPr>
          <w:rFonts w:cs="Times New Roman"/>
          <w:b w:val="0"/>
          <w:sz w:val="22"/>
          <w:szCs w:val="22"/>
        </w:rPr>
      </w:pPr>
      <w:r>
        <w:rPr>
          <w:rFonts w:cs="Times New Roman"/>
          <w:b w:val="0"/>
          <w:sz w:val="20"/>
        </w:rPr>
        <w:t>* - уровневый коэффициент не распространяется на тариф</w:t>
      </w:r>
      <w:r w:rsidR="00A00FC4">
        <w:rPr>
          <w:rFonts w:cs="Times New Roman"/>
          <w:b w:val="0"/>
          <w:sz w:val="22"/>
          <w:szCs w:val="22"/>
        </w:rPr>
        <w:t>».</w:t>
      </w:r>
    </w:p>
    <w:sectPr w:rsidR="00614802" w:rsidRPr="00A00FC4">
      <w:pgSz w:w="11906" w:h="16838"/>
      <w:pgMar w:top="709" w:right="518" w:bottom="850" w:left="118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614802"/>
    <w:rsid w:val="00614802"/>
    <w:rsid w:val="006C1692"/>
    <w:rsid w:val="00746F8D"/>
    <w:rsid w:val="00945A2B"/>
    <w:rsid w:val="00A00FC4"/>
    <w:rsid w:val="00AA5CDB"/>
    <w:rsid w:val="00C4148D"/>
    <w:rsid w:val="00EA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10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EE"/>
    <w:pPr>
      <w:ind w:firstLine="709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E71F1B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E71F1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E71F1B"/>
    <w:pPr>
      <w:spacing w:after="140" w:line="276" w:lineRule="auto"/>
    </w:pPr>
  </w:style>
  <w:style w:type="paragraph" w:styleId="a4">
    <w:name w:val="List"/>
    <w:basedOn w:val="a3"/>
    <w:rsid w:val="00E71F1B"/>
    <w:rPr>
      <w:rFonts w:cs="Arial"/>
    </w:rPr>
  </w:style>
  <w:style w:type="paragraph" w:styleId="a5">
    <w:name w:val="caption"/>
    <w:basedOn w:val="a"/>
    <w:qFormat/>
    <w:rsid w:val="00E71F1B"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rsid w:val="00E71F1B"/>
    <w:pPr>
      <w:suppressLineNumbers/>
    </w:pPr>
    <w:rPr>
      <w:rFonts w:cs="Arial"/>
    </w:rPr>
  </w:style>
  <w:style w:type="paragraph" w:customStyle="1" w:styleId="ConsPlusTitle">
    <w:name w:val="ConsPlusTitle"/>
    <w:qFormat/>
    <w:rsid w:val="00E71F1B"/>
    <w:pPr>
      <w:widowControl w:val="0"/>
      <w:ind w:firstLine="709"/>
    </w:pPr>
    <w:rPr>
      <w:rFonts w:eastAsia="Times New Roman" w:cs="Calibri"/>
      <w:b/>
      <w:sz w:val="24"/>
      <w:szCs w:val="20"/>
      <w:lang w:eastAsia="ru-RU"/>
    </w:rPr>
  </w:style>
  <w:style w:type="paragraph" w:customStyle="1" w:styleId="ConsPlusNormal">
    <w:name w:val="ConsPlusNormal"/>
    <w:qFormat/>
    <w:rsid w:val="00E71F1B"/>
    <w:pPr>
      <w:widowControl w:val="0"/>
      <w:ind w:firstLine="709"/>
    </w:pPr>
    <w:rPr>
      <w:rFonts w:eastAsia="Times New Roman" w:cs="Calibri"/>
      <w:sz w:val="24"/>
      <w:szCs w:val="20"/>
      <w:lang w:eastAsia="ru-RU"/>
    </w:rPr>
  </w:style>
  <w:style w:type="paragraph" w:customStyle="1" w:styleId="a7">
    <w:name w:val="Содержимое таблицы"/>
    <w:basedOn w:val="a"/>
    <w:qFormat/>
    <w:rsid w:val="00E71F1B"/>
    <w:pPr>
      <w:suppressLineNumbers/>
    </w:pPr>
  </w:style>
  <w:style w:type="paragraph" w:customStyle="1" w:styleId="a8">
    <w:name w:val="Заголовок таблицы"/>
    <w:basedOn w:val="a7"/>
    <w:qFormat/>
    <w:rsid w:val="00E71F1B"/>
    <w:pPr>
      <w:jc w:val="center"/>
    </w:pPr>
    <w:rPr>
      <w:b/>
      <w:bCs/>
    </w:rPr>
  </w:style>
  <w:style w:type="paragraph" w:customStyle="1" w:styleId="a9">
    <w:name w:val="Другое"/>
    <w:basedOn w:val="a"/>
    <w:qFormat/>
    <w:rsid w:val="00E71F1B"/>
    <w:pPr>
      <w:widowControl w:val="0"/>
      <w:shd w:val="clear" w:color="auto" w:fill="FFFFFF"/>
      <w:ind w:firstLine="400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C94E1B5801B16CC2FB9342B28BE55CDA52F3225ABC15091B5DAFA470752663498420AD713D7FFBB91E4AEA9BC1547957A16F04D619E802hBs0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C94E1B5801B16CC2FB9342B28BE55CDA52F3225ABC15091B5DAFA470752663498420AD713D7FFAB11E4AEA9BC1547957A16F04D619E802hBs0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94E1B5801B16CC2FB9342B28BE55CDA52F3225ABC15091B5DAFA470752663498420AD713D7FFDB31E4AEA9BC1547957A16F04D619E802hBs0O" TargetMode="External"/><Relationship Id="rId11" Type="http://schemas.openxmlformats.org/officeDocument/2006/relationships/hyperlink" Target="consultantplus://offline/ref=50C94E1B5801B16CC2FB9342B28BE55CDA52F3225ABC15091B5DAFA470752663498420AD713D7FF8B11E4AEA9BC1547957A16F04D619E802hBs0O" TargetMode="External"/><Relationship Id="rId5" Type="http://schemas.openxmlformats.org/officeDocument/2006/relationships/hyperlink" Target="consultantplus://offline/ref=50C94E1B5801B16CC2FB9342B28BE55CDA52F3225ABC15091B5DAFA470752663498420AD713D7FFCB71E4AEA9BC1547957A16F04D619E802hBs0O" TargetMode="External"/><Relationship Id="rId10" Type="http://schemas.openxmlformats.org/officeDocument/2006/relationships/hyperlink" Target="consultantplus://offline/ref=50C94E1B5801B16CC2FB9342B28BE55CDA52F3225ABC15091B5DAFA470752663498420AD713D7FFDB71E4AEA9BC1547957A16F04D619E802hBs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C94E1B5801B16CC2FB9342B28BE55CDA52F3225ABC15091B5DAFA470752663498420AD713D7FFDB11E4AEA9BC1547957A16F04D619E802hBs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</vt:lpstr>
    </vt:vector>
  </TitlesOfParts>
  <Company>КонсультантПлюс Версия 4021.00.65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 за счет средств обязательного медицинского страхования", утв. Минздравом России N 11-7/И/2-1619, ФФОМС N 00-10-26-2-06/750 02.02.2022)</dc:title>
  <dc:subject/>
  <dc:creator>Алексей Баклушин</dc:creator>
  <dc:description/>
  <cp:lastModifiedBy>Хорошкина Мария Александровна</cp:lastModifiedBy>
  <cp:revision>32</cp:revision>
  <cp:lastPrinted>2025-01-27T13:20:00Z</cp:lastPrinted>
  <dcterms:created xsi:type="dcterms:W3CDTF">2022-05-06T17:44:00Z</dcterms:created>
  <dcterms:modified xsi:type="dcterms:W3CDTF">2025-03-05T14:35:00Z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4021.00.65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